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E2FA6"/>
          <w:sz w:val="24"/>
        </w:rPr>
        <w:t>HOUSE STRATEGIES GROUP, LLC</w:t>
      </w:r>
      <w:r>
        <w:rPr>
          <w:color w:val="7C7D90"/>
        </w:rPr>
        <w:t xml:space="preserve">  (Prime / SBA 8(a))    x    </w:t>
      </w:r>
      <w:r>
        <w:rPr>
          <w:b/>
          <w:color w:val="1A7F37"/>
          <w:sz w:val="24"/>
        </w:rPr>
        <w:t>RILEY McGUIRE PARTNERS, LLC</w:t>
      </w:r>
      <w:r>
        <w:rPr>
          <w:color w:val="7C7D90"/>
        </w:rPr>
        <w:t xml:space="preserve">  (Kentucky Subcontractor / SDVOSB)</w:t>
      </w:r>
    </w:p>
    <w:p>
      <w:r>
        <w:rPr>
          <w:b/>
          <w:color w:val="201F2B"/>
          <w:sz w:val="40"/>
        </w:rPr>
        <w:t>Kentucky Judicial Branch Salary Compensation Study</w:t>
      </w:r>
    </w:p>
    <w:p>
      <w:r>
        <w:rPr>
          <w:color w:val="7C7D90"/>
          <w:sz w:val="22"/>
        </w:rPr>
        <w:t>Proposal in response to RFI 010 2600000015  |  Kentucky Legislative Research Commission  |  Submitted July ___, 2026</w:t>
      </w:r>
    </w:p>
    <w:p>
      <w:r>
        <w:t>Live companion portal: ky-judicial.housestrategiesgroup.com</w:t>
      </w:r>
    </w:p>
    <w:p>
      <w:r>
        <w:rPr>
          <w:b/>
          <w:color w:val="201F2B"/>
          <w:sz w:val="30"/>
        </w:rPr>
        <w:t>Cover Letter</w:t>
      </w:r>
    </w:p>
    <w:p>
      <w:r>
        <w:t>Ms. Regina Long, Kentucky Legislative Research Commission, Office of Business Operations, 702 Capitol Avenue, Room 076, Frankfort, KY 40601</w:t>
      </w:r>
    </w:p>
    <w:p>
      <w:r>
        <w:t>RE: RFI 010 2600000015 - Judicial Branch Salary Compensation Study</w:t>
      </w:r>
    </w:p>
    <w:p>
      <w:r>
        <w:t>Ms. Long and members of the Commission,</w:t>
      </w:r>
    </w:p>
    <w:p>
      <w:r>
        <w:t>House Strategies Group, LLC (HSG) is pleased to submit this proposal as prime contractor, with Riley McGuire Partners, LLC (RMP) as our Kentucky-based subcontractor. House Bill 503 asks for an evidence-based evaluation of what the Commonwealth pays the people who run its courts, and recommendations the General Assembly can act on. This is our practice.</w:t>
      </w:r>
    </w:p>
    <w:p>
      <w:r>
        <w:t>HSG is an SBA-certified 8(a) firm whose specialty is public-sector compensation and classification - the exact five-objective work this RFI describes. The qualifying experience and the references the RFI asks for are our own: multi-country position classification and compensation for USDA APHIS, led by our Certified Job Evaluator, and federal advisory delivery across two decades. As prime, HSG is your single point of accountability for scope, schedule, cost, and every analytical deliverable.</w:t>
      </w:r>
    </w:p>
    <w:p>
      <w:r>
        <w:t>Riley McGuire Partners - a Louisville-based Service-Disabled Veteran-Owned Small Business led by a Kentucky-barred attorney - joins as our Kentucky subcontractor, providing in-state stakeholder coordination, on-the-ground logistics, and veteran-owned participation. The analysis is led by the firm that does this work; the engagement stays local.</w:t>
      </w:r>
    </w:p>
    <w:p>
      <w:r>
        <w:t>This proposal follows HSG standard format, and it points to a working portal that already runs the analysis. You can adopt a compensation philosophy, watch pay ranges move against Kentucky real judicial pay scale, and read this entire proposal, live, before any award, at ky-judicial.housestrategiesgroup.com.</w:t>
      </w:r>
    </w:p>
    <w:p>
      <w:r>
        <w:t>Jelani House, Founder &amp; Managing Director. House Strategies Group, LLC. jelani.house@housestrategiesgroup.com. 434-981-5295.</w:t>
      </w:r>
    </w:p>
    <w:p>
      <w:r>
        <w:br w:type="page"/>
      </w:r>
    </w:p>
    <w:p>
      <w:r>
        <w:rPr>
          <w:b/>
          <w:color w:val="2E2FA6"/>
          <w:sz w:val="16"/>
        </w:rPr>
        <w:t>PROPOSAL SUMMARY AT A GLANCE</w:t>
      </w:r>
    </w:p>
    <w:p>
      <w:r>
        <w:rPr>
          <w:b/>
          <w:color w:val="201F2B"/>
          <w:sz w:val="32"/>
        </w:rPr>
        <w:t>Why this team, and why now.</w:t>
      </w:r>
    </w:p>
    <w:p>
      <w:r>
        <w:t>HB 503 (2026) appropriates $1,000,000 for an external consultant to study roughly 3,700 judicial-branch personnel in all 120 counties - the 412 elected justices, judges, and circuit clerks, and roughly 3,300 career employees - reviewing classifications, compensation levels, and market competitiveness. Results are due to the Interim Joint Committee on Appropriations and Revenue by July 1, 2027.</w:t>
      </w:r>
    </w:p>
    <w:p>
      <w:r>
        <w:t>The problem is on the record. Kentucky general-jurisdiction judges rank 48th nationally and, by the Court of Justice own account, earn over 20% below the national average and 23% below surrounding states; judicial-branch staff earn about 17% less than executive-branch peers (Chief Justice Lambert, November 2025). Against the NCSC national trial-judge median of $183,006 (July 2024), Kentucky trails every neighboring state except West Virginia. About 82% of the career workforce sits in the lower pay grades 7-11. Kentucky has no standing judicial-compensation commission (HB 469 died in 2015). The full public record is on the portal Evidence page.</w:t>
      </w:r>
    </w:p>
    <w:p>
      <w:pPr>
        <w:pStyle w:val="ListBullet"/>
      </w:pPr>
      <w:r>
        <w:rPr>
          <w:b/>
        </w:rPr>
        <w:t xml:space="preserve">The prime holds the qualifying experience. </w:t>
      </w:r>
      <w:r>
        <w:t>HSG specialty is public-sector compensation and classification, and the experience and references the RFI asks for are HSG own past performance, not a subcontractor.</w:t>
      </w:r>
    </w:p>
    <w:p>
      <w:pPr>
        <w:pStyle w:val="ListBullet"/>
      </w:pPr>
      <w:r>
        <w:rPr>
          <w:b/>
        </w:rPr>
        <w:t xml:space="preserve">Kentucky boots on the ground. </w:t>
      </w:r>
      <w:r>
        <w:t>RMP, our Louisville-based veteran-owned subcontractor, provides in-state coordination and on-the-ground logistics.</w:t>
      </w:r>
    </w:p>
    <w:p>
      <w:pPr>
        <w:pStyle w:val="ListBullet"/>
      </w:pPr>
      <w:r>
        <w:rPr>
          <w:b/>
        </w:rPr>
        <w:t xml:space="preserve">A Certified Job Evaluator leads the method. </w:t>
      </w:r>
      <w:r>
        <w:t>Classification is led by a CJE with 25+ years of federal position-management experience, rated Exceptional.</w:t>
      </w:r>
    </w:p>
    <w:p>
      <w:pPr>
        <w:pStyle w:val="ListBullet"/>
      </w:pPr>
      <w:r>
        <w:rPr>
          <w:b/>
        </w:rPr>
        <w:t xml:space="preserve">Auditable, AI-enhanced method. </w:t>
      </w:r>
      <w:r>
        <w:t>Every figure traces to its survey source and date; a credentialed evaluator signs off on every crosswalk and range.</w:t>
      </w:r>
    </w:p>
    <w:p>
      <w:pPr>
        <w:pStyle w:val="ListBullet"/>
      </w:pPr>
      <w:r>
        <w:rPr>
          <w:b/>
        </w:rPr>
        <w:t xml:space="preserve">A working portal. </w:t>
      </w:r>
      <w:r>
        <w:t>The Commission can operate the analysis before it awards.</w:t>
      </w:r>
    </w:p>
    <w:p>
      <w:r>
        <w:br w:type="page"/>
      </w:r>
    </w:p>
    <w:p>
      <w:r>
        <w:rPr>
          <w:b/>
          <w:color w:val="2E2FA6"/>
          <w:sz w:val="16"/>
        </w:rPr>
        <w:t>RFI SECTION 2.10 - VENDOR BACKGROUND AND EXPERIENCE</w:t>
      </w:r>
    </w:p>
    <w:p>
      <w:r>
        <w:rPr>
          <w:b/>
          <w:color w:val="201F2B"/>
          <w:sz w:val="32"/>
        </w:rPr>
        <w:t>The experience the RFI asks for, point by point.</w:t>
      </w:r>
    </w:p>
    <w:p>
      <w:pPr>
        <w:pStyle w:val="ListBullet"/>
      </w:pPr>
      <w:r>
        <w:rPr>
          <w:b/>
        </w:rPr>
        <w:t xml:space="preserve">A. Analyzing compensation data across public and private markets. </w:t>
      </w:r>
      <w:r>
        <w:t>HSG blends published public- and private-sector salary surveys, ages data to a common date, and computes percentiles, market index, and compa-ratio. Its senior compensation analyst ran Fortune-100 compensation programs; its classification lead is a Certified Job Evaluator.</w:t>
      </w:r>
    </w:p>
    <w:p>
      <w:pPr>
        <w:pStyle w:val="ListBullet"/>
      </w:pPr>
      <w:r>
        <w:rPr>
          <w:b/>
        </w:rPr>
        <w:t xml:space="preserve">B. Market analyses of public- and private-sector labor markets. </w:t>
      </w:r>
      <w:r>
        <w:t>Benchmark positions and comparators assessed against Kentucky position, anchored for the judiciary on the NCSC Survey of Judicial Salaries, and for the career workforce on blended public/private survey data with regional cost-of-labor adjustment.</w:t>
      </w:r>
    </w:p>
    <w:p>
      <w:pPr>
        <w:pStyle w:val="ListBullet"/>
      </w:pPr>
      <w:r>
        <w:rPr>
          <w:b/>
        </w:rPr>
        <w:t xml:space="preserve">C. Developing pay ranges (min/mid/max) and sound policy. </w:t>
      </w:r>
      <w:r>
        <w:t>Complete pay structures with minimum, midpoint, and maximum for every benchmarked position, plus progression, experience-rating, hiring-offer, and maintenance policies.</w:t>
      </w:r>
    </w:p>
    <w:p>
      <w:pPr>
        <w:pStyle w:val="ListBullet"/>
      </w:pPr>
      <w:r>
        <w:rPr>
          <w:b/>
        </w:rPr>
        <w:t xml:space="preserve">D. HR consulting, benchmarking public-employee salaries. </w:t>
      </w:r>
      <w:r>
        <w:t>HSG core line: classification and compensation studies for state, county, municipal, and federal organizations, led by a Certified Job Evaluator, rated Exceptional in past-performance review.</w:t>
      </w:r>
    </w:p>
    <w:p>
      <w:pPr>
        <w:pStyle w:val="ListBullet"/>
      </w:pPr>
      <w:r>
        <w:rPr>
          <w:b/>
        </w:rPr>
        <w:t xml:space="preserve">E. Relevant past projects, with examples. </w:t>
      </w:r>
      <w:r>
        <w:t>Municipal and county classification-and-compensation studies, total-compensation studies with regional adjustment, and federal classification and position-management work. Three client references (HSG own past performance) under Section 3.5.</w:t>
      </w:r>
    </w:p>
    <w:p>
      <w:pPr>
        <w:pStyle w:val="ListBullet"/>
      </w:pPr>
      <w:r>
        <w:rPr>
          <w:b/>
        </w:rPr>
        <w:t xml:space="preserve">F. Strong project management and communication. </w:t>
      </w:r>
      <w:r>
        <w:t>HSG, as prime, owns program management: a designated Project Director (Jelani House) accountable for scope, schedule, and cost; a master plan; monthly written progress reports; and oral presentations at the Commission discretion. Neil Riley (RMP) supports Kentucky coordination.</w:t>
      </w:r>
    </w:p>
    <w:p>
      <w:r>
        <w:t>Team and division of labor: HSG (prime) performs program management, the compensation and classification methodology, benchmarking, job architecture, geographic differentials, the cost model, and the analytical platform - and holds the qualifying experience and references. RMP (Kentucky subcontractor) provides in-state stakeholder coordination, on-the-ground logistics, veteran-owned participation, and contract support.</w:t>
      </w:r>
    </w:p>
    <w:p>
      <w:r>
        <w:br w:type="page"/>
      </w:r>
    </w:p>
    <w:p>
      <w:r>
        <w:rPr>
          <w:b/>
          <w:color w:val="2E2FA6"/>
          <w:sz w:val="16"/>
        </w:rPr>
        <w:t>PROPOSED SOLUTION - TECHNICAL</w:t>
      </w:r>
    </w:p>
    <w:p>
      <w:r>
        <w:rPr>
          <w:b/>
          <w:color w:val="201F2B"/>
          <w:sz w:val="32"/>
        </w:rPr>
        <w:t>How we deliver the five objectives.</w:t>
      </w:r>
    </w:p>
    <w:p>
      <w:r>
        <w:t>Two populations: the 412 elected justices, judges, and circuit clerks, and the roughly 3,300 career employees, analyzed with distinct methods and reconciled into one philosophy and one budget.</w:t>
      </w:r>
    </w:p>
    <w:p>
      <w:pPr>
        <w:pStyle w:val="ListBullet"/>
      </w:pPr>
      <w:r>
        <w:rPr>
          <w:b/>
        </w:rPr>
        <w:t xml:space="preserve">Objective 1 - A stated compensation philosophy. </w:t>
      </w:r>
      <w:r>
        <w:t>Facilitate a working session with the LRC team and Judicial Branch representatives to decide, in writing, where the Judicial Branch should sit in its market (lead, match, or lag, and at what percentile). Output: an adopted compensation-philosophy statement.</w:t>
      </w:r>
    </w:p>
    <w:p>
      <w:pPr>
        <w:pStyle w:val="ListBullet"/>
      </w:pPr>
      <w:r>
        <w:rPr>
          <w:b/>
        </w:rPr>
        <w:t xml:space="preserve">Objective 2 - Internal-equity review. </w:t>
      </w:r>
      <w:r>
        <w:t>Led by our Certified Job Evaluator: review each position and its job description, evaluate on consistent factors, and place each correctly, flagging compression, inversion, and misclassification. Output: a position-by-position equity analysis and classification recommendations.</w:t>
      </w:r>
    </w:p>
    <w:p>
      <w:pPr>
        <w:pStyle w:val="ListBullet"/>
      </w:pPr>
      <w:r>
        <w:rPr>
          <w:b/>
        </w:rPr>
        <w:t xml:space="preserve">Objective 3 - Market analysis. </w:t>
      </w:r>
      <w:r>
        <w:t>Select benchmark positions and comparators; anchor the judiciary on the NCSC survey and neighboring states; blend and age career-workforce survey data; and apply cost-of-labor adjustments across Kentucky regions. Output: benchmark data, market-position findings, and a geographic-differential model.</w:t>
      </w:r>
    </w:p>
    <w:p>
      <w:pPr>
        <w:pStyle w:val="ListBullet"/>
      </w:pPr>
      <w:r>
        <w:rPr>
          <w:b/>
        </w:rPr>
        <w:t xml:space="preserve">Objective 4 - Compensation administration. </w:t>
      </w:r>
      <w:r>
        <w:t>Translate the analysis into pay ranges (min/mid/max) aligned to the philosophy, plus progression logic, experience ratings, hiring-offer guidelines, and maintenance policy. Output: a complete pay structure and administration policies.</w:t>
      </w:r>
    </w:p>
    <w:p>
      <w:pPr>
        <w:pStyle w:val="ListBullet"/>
      </w:pPr>
      <w:r>
        <w:rPr>
          <w:b/>
        </w:rPr>
        <w:t xml:space="preserve">Objective 5 - Overall cost analysis. </w:t>
      </w:r>
      <w:r>
        <w:t>Cost every recommendation as phased, optioned scenarios with fiscal impact by tier, phase, and fiscal year, built for the Interim Joint Committee on Appropriations and Revenue. Output: a costed recommendation set with committee-ready materials.</w:t>
      </w:r>
    </w:p>
    <w:p>
      <w:r>
        <w:t>Beyond the five objectives: Kentucky has no standing judicial-compensation commission (HB 469 died in 2015). We can recommend a made-in-Kentucky governance mechanism to keep pay current, drawing on precedent from New York, North Carolina, Virginia, and Maine.</w:t>
      </w:r>
    </w:p>
    <w:p>
      <w:r>
        <w:br w:type="page"/>
      </w:r>
    </w:p>
    <w:p>
      <w:r>
        <w:rPr>
          <w:b/>
          <w:color w:val="2E2FA6"/>
          <w:sz w:val="16"/>
        </w:rPr>
        <w:t>RFI SECTION 2.20(A) - PROJECT TIMELINE</w:t>
      </w:r>
    </w:p>
    <w:p>
      <w:r>
        <w:rPr>
          <w:b/>
          <w:color w:val="201F2B"/>
          <w:sz w:val="32"/>
        </w:rPr>
        <w:t>A phased schedule, timed to the 2028 session.</w:t>
      </w:r>
    </w:p>
    <w:tbl>
      <w:tblPr>
        <w:tblStyle w:val="LightGrid-Accent1"/>
        <w:tblW w:type="auto" w:w="0"/>
        <w:tblLook w:firstColumn="1" w:firstRow="1" w:lastColumn="0" w:lastRow="0" w:noHBand="0" w:noVBand="1" w:val="04A0"/>
      </w:tblPr>
      <w:tblGrid>
        <w:gridCol w:w="3216"/>
        <w:gridCol w:w="3216"/>
        <w:gridCol w:w="3216"/>
      </w:tblGrid>
      <w:tr>
        <w:tc>
          <w:tcPr>
            <w:tcW w:type="dxa" w:w="3216"/>
          </w:tcPr>
          <w:p>
            <w:r>
              <w:rPr>
                <w:b/>
                <w:sz w:val="18"/>
              </w:rPr>
              <w:t>Milestone</w:t>
            </w:r>
          </w:p>
        </w:tc>
        <w:tc>
          <w:tcPr>
            <w:tcW w:type="dxa" w:w="3216"/>
          </w:tcPr>
          <w:p>
            <w:r>
              <w:rPr>
                <w:b/>
                <w:sz w:val="18"/>
              </w:rPr>
              <w:t>Timing</w:t>
            </w:r>
          </w:p>
        </w:tc>
        <w:tc>
          <w:tcPr>
            <w:tcW w:type="dxa" w:w="3216"/>
          </w:tcPr>
          <w:p>
            <w:r>
              <w:rPr>
                <w:b/>
                <w:sz w:val="18"/>
              </w:rPr>
              <w:t>Key activities and output</w:t>
            </w:r>
          </w:p>
        </w:tc>
      </w:tr>
      <w:tr>
        <w:tc>
          <w:tcPr>
            <w:tcW w:type="dxa" w:w="3216"/>
          </w:tcPr>
          <w:p>
            <w:r>
              <w:rPr>
                <w:b w:val="0"/>
                <w:sz w:val="18"/>
              </w:rPr>
              <w:t>Kick-off</w:t>
            </w:r>
          </w:p>
        </w:tc>
        <w:tc>
          <w:tcPr>
            <w:tcW w:type="dxa" w:w="3216"/>
          </w:tcPr>
          <w:p>
            <w:r>
              <w:rPr>
                <w:b w:val="0"/>
                <w:sz w:val="18"/>
              </w:rPr>
              <w:t>Within 5 business days of award</w:t>
            </w:r>
          </w:p>
        </w:tc>
        <w:tc>
          <w:tcPr>
            <w:tcW w:type="dxa" w:w="3216"/>
          </w:tcPr>
          <w:p>
            <w:r>
              <w:rPr>
                <w:b w:val="0"/>
                <w:sz w:val="18"/>
              </w:rPr>
              <w:t>Confirm deliverable content/format, schedule, PM and reporting standards, staff assignments; submitted for LRC approval.</w:t>
            </w:r>
          </w:p>
        </w:tc>
      </w:tr>
      <w:tr>
        <w:tc>
          <w:tcPr>
            <w:tcW w:type="dxa" w:w="3216"/>
          </w:tcPr>
          <w:p>
            <w:r>
              <w:rPr>
                <w:b w:val="0"/>
                <w:sz w:val="18"/>
              </w:rPr>
              <w:t>Phase 1</w:t>
            </w:r>
          </w:p>
        </w:tc>
        <w:tc>
          <w:tcPr>
            <w:tcW w:type="dxa" w:w="3216"/>
          </w:tcPr>
          <w:p>
            <w:r>
              <w:rPr>
                <w:b w:val="0"/>
                <w:sz w:val="18"/>
              </w:rPr>
              <w:t>Award to Q4 2026 / Q1 2027</w:t>
            </w:r>
          </w:p>
        </w:tc>
        <w:tc>
          <w:tcPr>
            <w:tcW w:type="dxa" w:w="3216"/>
          </w:tcPr>
          <w:p>
            <w:r>
              <w:rPr>
                <w:b w:val="0"/>
                <w:sz w:val="18"/>
              </w:rPr>
              <w:t>Compensation philosophy; job-description and internal-equity review; position placement.</w:t>
            </w:r>
          </w:p>
        </w:tc>
      </w:tr>
      <w:tr>
        <w:tc>
          <w:tcPr>
            <w:tcW w:type="dxa" w:w="3216"/>
          </w:tcPr>
          <w:p>
            <w:r>
              <w:rPr>
                <w:b w:val="0"/>
                <w:sz w:val="18"/>
              </w:rPr>
              <w:t>Phase 2</w:t>
            </w:r>
          </w:p>
        </w:tc>
        <w:tc>
          <w:tcPr>
            <w:tcW w:type="dxa" w:w="3216"/>
          </w:tcPr>
          <w:p>
            <w:r>
              <w:rPr>
                <w:b w:val="0"/>
                <w:sz w:val="18"/>
              </w:rPr>
              <w:t>Q1 to Q2 2027</w:t>
            </w:r>
          </w:p>
        </w:tc>
        <w:tc>
          <w:tcPr>
            <w:tcW w:type="dxa" w:w="3216"/>
          </w:tcPr>
          <w:p>
            <w:r>
              <w:rPr>
                <w:b w:val="0"/>
                <w:sz w:val="18"/>
              </w:rPr>
              <w:t>Market analysis and geographic differentials; pay-range design; administration policy; cost analysis.</w:t>
            </w:r>
          </w:p>
        </w:tc>
      </w:tr>
      <w:tr>
        <w:tc>
          <w:tcPr>
            <w:tcW w:type="dxa" w:w="3216"/>
          </w:tcPr>
          <w:p>
            <w:r>
              <w:rPr>
                <w:b w:val="0"/>
                <w:sz w:val="18"/>
              </w:rPr>
              <w:t>Draft report</w:t>
            </w:r>
          </w:p>
        </w:tc>
        <w:tc>
          <w:tcPr>
            <w:tcW w:type="dxa" w:w="3216"/>
          </w:tcPr>
          <w:p>
            <w:r>
              <w:rPr>
                <w:b w:val="0"/>
                <w:sz w:val="18"/>
              </w:rPr>
              <w:t>By June 1, 2027</w:t>
            </w:r>
          </w:p>
        </w:tc>
        <w:tc>
          <w:tcPr>
            <w:tcW w:type="dxa" w:w="3216"/>
          </w:tcPr>
          <w:p>
            <w:r>
              <w:rPr>
                <w:b w:val="0"/>
                <w:sz w:val="18"/>
              </w:rPr>
              <w:t>Findings, policy options, and recommendations for LRC review.</w:t>
            </w:r>
          </w:p>
        </w:tc>
      </w:tr>
      <w:tr>
        <w:tc>
          <w:tcPr>
            <w:tcW w:type="dxa" w:w="3216"/>
          </w:tcPr>
          <w:p>
            <w:r>
              <w:rPr>
                <w:b w:val="0"/>
                <w:sz w:val="18"/>
              </w:rPr>
              <w:t>Final report</w:t>
            </w:r>
          </w:p>
        </w:tc>
        <w:tc>
          <w:tcPr>
            <w:tcW w:type="dxa" w:w="3216"/>
          </w:tcPr>
          <w:p>
            <w:r>
              <w:rPr>
                <w:b w:val="0"/>
                <w:sz w:val="18"/>
              </w:rPr>
              <w:t>By June 30, 2027</w:t>
            </w:r>
          </w:p>
        </w:tc>
        <w:tc>
          <w:tcPr>
            <w:tcW w:type="dxa" w:w="3216"/>
          </w:tcPr>
          <w:p>
            <w:r>
              <w:rPr>
                <w:b w:val="0"/>
                <w:sz w:val="18"/>
              </w:rPr>
              <w:t>Final report and Appropriations and Revenue budget materials.</w:t>
            </w:r>
          </w:p>
        </w:tc>
      </w:tr>
    </w:tbl>
    <w:p>
      <w:r>
        <w:br w:type="page"/>
      </w:r>
    </w:p>
    <w:p>
      <w:r>
        <w:rPr>
          <w:b/>
          <w:color w:val="2E2FA6"/>
          <w:sz w:val="16"/>
        </w:rPr>
        <w:t>RFI SECTION 2.20(B) - COST ESTIMATE</w:t>
      </w:r>
    </w:p>
    <w:p>
      <w:r>
        <w:rPr>
          <w:b/>
          <w:color w:val="201F2B"/>
          <w:sz w:val="32"/>
        </w:rPr>
        <w:t>Preliminary cost estimate.</w:t>
      </w:r>
    </w:p>
    <w:p>
      <w:r>
        <w:t>Preliminary not-to-exceed estimate, structured with no indirect-cost reimbursement per the Commission standard terms. Final pricing confirmed once the AOC classification inventory is provided at kick-off.</w:t>
      </w:r>
    </w:p>
    <w:tbl>
      <w:tblPr>
        <w:tblStyle w:val="LightGrid-Accent1"/>
        <w:tblW w:type="auto" w:w="0"/>
        <w:tblLook w:firstColumn="1" w:firstRow="1" w:lastColumn="0" w:lastRow="0" w:noHBand="0" w:noVBand="1" w:val="04A0"/>
      </w:tblPr>
      <w:tblGrid>
        <w:gridCol w:w="4824"/>
        <w:gridCol w:w="4824"/>
      </w:tblGrid>
      <w:tr>
        <w:tc>
          <w:tcPr>
            <w:tcW w:type="dxa" w:w="4824"/>
          </w:tcPr>
          <w:p>
            <w:r>
              <w:rPr>
                <w:b/>
                <w:sz w:val="18"/>
              </w:rPr>
              <w:t>Component</w:t>
            </w:r>
          </w:p>
        </w:tc>
        <w:tc>
          <w:tcPr>
            <w:tcW w:type="dxa" w:w="4824"/>
          </w:tcPr>
          <w:p>
            <w:r>
              <w:rPr>
                <w:b/>
                <w:sz w:val="18"/>
              </w:rPr>
              <w:t>Preliminary estimate</w:t>
            </w:r>
          </w:p>
        </w:tc>
      </w:tr>
      <w:tr>
        <w:tc>
          <w:tcPr>
            <w:tcW w:type="dxa" w:w="4824"/>
          </w:tcPr>
          <w:p>
            <w:r>
              <w:rPr>
                <w:b w:val="0"/>
                <w:sz w:val="18"/>
              </w:rPr>
              <w:t>Phase 1 - Compensation philosophy and internal-equity / classification review (statewide classification inventory + elected tiers)</w:t>
            </w:r>
          </w:p>
        </w:tc>
        <w:tc>
          <w:tcPr>
            <w:tcW w:type="dxa" w:w="4824"/>
          </w:tcPr>
          <w:p>
            <w:r>
              <w:rPr>
                <w:b w:val="0"/>
                <w:sz w:val="18"/>
              </w:rPr>
              <w:t>$78,000</w:t>
            </w:r>
          </w:p>
        </w:tc>
      </w:tr>
      <w:tr>
        <w:tc>
          <w:tcPr>
            <w:tcW w:type="dxa" w:w="4824"/>
          </w:tcPr>
          <w:p>
            <w:r>
              <w:rPr>
                <w:b w:val="0"/>
                <w:sz w:val="18"/>
              </w:rPr>
              <w:t>Phase 2 - Market analysis, geographic differentials, pay-range design and administration</w:t>
            </w:r>
          </w:p>
        </w:tc>
        <w:tc>
          <w:tcPr>
            <w:tcW w:type="dxa" w:w="4824"/>
          </w:tcPr>
          <w:p>
            <w:r>
              <w:rPr>
                <w:b w:val="0"/>
                <w:sz w:val="18"/>
              </w:rPr>
              <w:t>$52,000</w:t>
            </w:r>
          </w:p>
        </w:tc>
      </w:tr>
      <w:tr>
        <w:tc>
          <w:tcPr>
            <w:tcW w:type="dxa" w:w="4824"/>
          </w:tcPr>
          <w:p>
            <w:r>
              <w:rPr>
                <w:b w:val="0"/>
                <w:sz w:val="18"/>
              </w:rPr>
              <w:t>Objective 5 - Cost analysis, budget modeling and committee materials</w:t>
            </w:r>
          </w:p>
        </w:tc>
        <w:tc>
          <w:tcPr>
            <w:tcW w:type="dxa" w:w="4824"/>
          </w:tcPr>
          <w:p>
            <w:r>
              <w:rPr>
                <w:b w:val="0"/>
                <w:sz w:val="18"/>
              </w:rPr>
              <w:t>$22,000</w:t>
            </w:r>
          </w:p>
        </w:tc>
      </w:tr>
      <w:tr>
        <w:tc>
          <w:tcPr>
            <w:tcW w:type="dxa" w:w="4824"/>
          </w:tcPr>
          <w:p>
            <w:r>
              <w:rPr>
                <w:b w:val="0"/>
                <w:sz w:val="18"/>
              </w:rPr>
              <w:t>Project management, reporting, coordination and the analytical portal</w:t>
            </w:r>
          </w:p>
        </w:tc>
        <w:tc>
          <w:tcPr>
            <w:tcW w:type="dxa" w:w="4824"/>
          </w:tcPr>
          <w:p>
            <w:r>
              <w:rPr>
                <w:b w:val="0"/>
                <w:sz w:val="18"/>
              </w:rPr>
              <w:t>$18,000</w:t>
            </w:r>
          </w:p>
        </w:tc>
      </w:tr>
      <w:tr>
        <w:tc>
          <w:tcPr>
            <w:tcW w:type="dxa" w:w="4824"/>
          </w:tcPr>
          <w:p>
            <w:r>
              <w:rPr>
                <w:b w:val="0"/>
                <w:sz w:val="18"/>
              </w:rPr>
              <w:t>Direct expenses (statewide on-site travel, survey licensing incl. NCSC/comparators)</w:t>
            </w:r>
          </w:p>
        </w:tc>
        <w:tc>
          <w:tcPr>
            <w:tcW w:type="dxa" w:w="4824"/>
          </w:tcPr>
          <w:p>
            <w:r>
              <w:rPr>
                <w:b w:val="0"/>
                <w:sz w:val="18"/>
              </w:rPr>
              <w:t>$15,000</w:t>
            </w:r>
          </w:p>
        </w:tc>
      </w:tr>
      <w:tr>
        <w:tc>
          <w:tcPr>
            <w:tcW w:type="dxa" w:w="4824"/>
          </w:tcPr>
          <w:p>
            <w:r>
              <w:rPr>
                <w:b w:val="0"/>
                <w:sz w:val="18"/>
              </w:rPr>
              <w:t>Preliminary total (NTE)</w:t>
            </w:r>
          </w:p>
        </w:tc>
        <w:tc>
          <w:tcPr>
            <w:tcW w:type="dxa" w:w="4824"/>
          </w:tcPr>
          <w:p>
            <w:r>
              <w:rPr>
                <w:b w:val="0"/>
                <w:sz w:val="18"/>
              </w:rPr>
              <w:t>$185,000</w:t>
            </w:r>
          </w:p>
        </w:tc>
      </w:tr>
    </w:tbl>
    <w:p>
      <w:r>
        <w:t>Built up from the current market for public-sector classification and compensation studies, then scaled for the added scope of a statewide, two-population engagement (elected-official market study, 120-county geographic differentials, statewide travel, and legislative-grade cost/budget analysis). Fully loaded, no separate indirect line, and well under a fifth of the $1,000,000 HB 503 appropriation. Final pricing confirmed once the AOC classification inventory is provided at kick-off - class count, not headcount, drives the number. [Preliminary; not a firm offer.]</w:t>
      </w:r>
    </w:p>
    <w:p>
      <w:r>
        <w:br w:type="page"/>
      </w:r>
    </w:p>
    <w:p>
      <w:r>
        <w:rPr>
          <w:b/>
          <w:color w:val="2E2FA6"/>
          <w:sz w:val="16"/>
        </w:rPr>
        <w:t>SECTION 3 - QUALIFICATIONS, PERSONNEL AND REFERENCES</w:t>
      </w:r>
    </w:p>
    <w:p>
      <w:r>
        <w:rPr>
          <w:b/>
          <w:color w:val="201F2B"/>
          <w:sz w:val="32"/>
        </w:rPr>
        <w:t>The team.</w:t>
      </w:r>
    </w:p>
    <w:p>
      <w:r>
        <w:t>Prime - House Strategies Group, LLC: SBA 8(a). Program management and the compensation and classification methodology, benchmarking, job architecture, geographic differentials, cost model, and analytical platform; holds the qualifying experience and references. UEI EAE1MJHMN2Z1, CAGE 7W4Y5, FEIN 47-5283120, KY Vendor KS0034905.</w:t>
      </w:r>
    </w:p>
    <w:p>
      <w:r>
        <w:t>Kentucky subcontractor - Riley McGuire Partners, LLC: SDVOSB, Louisville, KY. In-state coordination, on-the-ground logistics, veteran-owned participation, contract support. UEI LQGBKZTF81H3, CAGE 7QNY4, GSA Schedule holder.</w:t>
      </w:r>
    </w:p>
    <w:p>
      <w:r>
        <w:rPr>
          <w:b/>
          <w:color w:val="201F2B"/>
          <w:sz w:val="24"/>
        </w:rPr>
        <w:t>Similar projects (past five years)</w:t>
      </w:r>
    </w:p>
    <w:tbl>
      <w:tblPr>
        <w:tblStyle w:val="LightGrid-Accent1"/>
        <w:tblW w:type="auto" w:w="0"/>
        <w:tblLook w:firstColumn="1" w:firstRow="1" w:lastColumn="0" w:lastRow="0" w:noHBand="0" w:noVBand="1" w:val="04A0"/>
      </w:tblPr>
      <w:tblGrid>
        <w:gridCol w:w="3216"/>
        <w:gridCol w:w="3216"/>
        <w:gridCol w:w="3216"/>
      </w:tblGrid>
      <w:tr>
        <w:tc>
          <w:tcPr>
            <w:tcW w:type="dxa" w:w="3216"/>
          </w:tcPr>
          <w:p>
            <w:r>
              <w:rPr>
                <w:b/>
                <w:sz w:val="18"/>
              </w:rPr>
              <w:t>Project</w:t>
            </w:r>
          </w:p>
        </w:tc>
        <w:tc>
          <w:tcPr>
            <w:tcW w:type="dxa" w:w="3216"/>
          </w:tcPr>
          <w:p>
            <w:r>
              <w:rPr>
                <w:b/>
                <w:sz w:val="18"/>
              </w:rPr>
              <w:t>Client</w:t>
            </w:r>
          </w:p>
        </w:tc>
        <w:tc>
          <w:tcPr>
            <w:tcW w:type="dxa" w:w="3216"/>
          </w:tcPr>
          <w:p>
            <w:r>
              <w:rPr>
                <w:b/>
                <w:sz w:val="18"/>
              </w:rPr>
              <w:t>Relevance</w:t>
            </w:r>
          </w:p>
        </w:tc>
      </w:tr>
      <w:tr>
        <w:tc>
          <w:tcPr>
            <w:tcW w:type="dxa" w:w="3216"/>
          </w:tcPr>
          <w:p>
            <w:r>
              <w:rPr>
                <w:b w:val="0"/>
                <w:sz w:val="18"/>
              </w:rPr>
              <w:t>Multi-country position classification and compensation</w:t>
            </w:r>
          </w:p>
        </w:tc>
        <w:tc>
          <w:tcPr>
            <w:tcW w:type="dxa" w:w="3216"/>
          </w:tcPr>
          <w:p>
            <w:r>
              <w:rPr>
                <w:b w:val="0"/>
                <w:sz w:val="18"/>
              </w:rPr>
              <w:t>USDA APHIS International Services</w:t>
            </w:r>
          </w:p>
        </w:tc>
        <w:tc>
          <w:tcPr>
            <w:tcW w:type="dxa" w:w="3216"/>
          </w:tcPr>
          <w:p>
            <w:r>
              <w:rPr>
                <w:b w:val="0"/>
                <w:sz w:val="18"/>
              </w:rPr>
              <w:t>Large-scale classification and grade-band determination (CJE-led).</w:t>
            </w:r>
          </w:p>
        </w:tc>
      </w:tr>
      <w:tr>
        <w:tc>
          <w:tcPr>
            <w:tcW w:type="dxa" w:w="3216"/>
          </w:tcPr>
          <w:p>
            <w:r>
              <w:rPr>
                <w:b w:val="0"/>
                <w:sz w:val="18"/>
              </w:rPr>
              <w:t>Multi-post position classification (M-Class)</w:t>
            </w:r>
          </w:p>
        </w:tc>
        <w:tc>
          <w:tcPr>
            <w:tcW w:type="dxa" w:w="3216"/>
          </w:tcPr>
          <w:p>
            <w:r>
              <w:rPr>
                <w:b w:val="0"/>
                <w:sz w:val="18"/>
              </w:rPr>
              <w:t>U.S. Foreign Service</w:t>
            </w:r>
          </w:p>
        </w:tc>
        <w:tc>
          <w:tcPr>
            <w:tcW w:type="dxa" w:w="3216"/>
          </w:tcPr>
          <w:p>
            <w:r>
              <w:rPr>
                <w:b w:val="0"/>
                <w:sz w:val="18"/>
              </w:rPr>
              <w:t>Classification across a 2,000+ staff workforce.</w:t>
            </w:r>
          </w:p>
        </w:tc>
      </w:tr>
      <w:tr>
        <w:tc>
          <w:tcPr>
            <w:tcW w:type="dxa" w:w="3216"/>
          </w:tcPr>
          <w:p>
            <w:r>
              <w:rPr>
                <w:b w:val="0"/>
                <w:sz w:val="18"/>
              </w:rPr>
              <w:t>Position classification program</w:t>
            </w:r>
          </w:p>
        </w:tc>
        <w:tc>
          <w:tcPr>
            <w:tcW w:type="dxa" w:w="3216"/>
          </w:tcPr>
          <w:p>
            <w:r>
              <w:rPr>
                <w:b w:val="0"/>
                <w:sz w:val="18"/>
              </w:rPr>
              <w:t>U.S. Embassy South Africa</w:t>
            </w:r>
          </w:p>
        </w:tc>
        <w:tc>
          <w:tcPr>
            <w:tcW w:type="dxa" w:w="3216"/>
          </w:tcPr>
          <w:p>
            <w:r>
              <w:rPr>
                <w:b w:val="0"/>
                <w:sz w:val="18"/>
              </w:rPr>
              <w:t>Job evaluation and position management, rated Exceptional.</w:t>
            </w:r>
          </w:p>
        </w:tc>
      </w:tr>
      <w:tr>
        <w:tc>
          <w:tcPr>
            <w:tcW w:type="dxa" w:w="3216"/>
          </w:tcPr>
          <w:p>
            <w:r>
              <w:rPr>
                <w:b w:val="0"/>
                <w:sz w:val="18"/>
              </w:rPr>
              <w:t>Enterprise benefits and compensation administration</w:t>
            </w:r>
          </w:p>
        </w:tc>
        <w:tc>
          <w:tcPr>
            <w:tcW w:type="dxa" w:w="3216"/>
          </w:tcPr>
          <w:p>
            <w:r>
              <w:rPr>
                <w:b w:val="0"/>
                <w:sz w:val="18"/>
              </w:rPr>
              <w:t>Constellis</w:t>
            </w:r>
          </w:p>
        </w:tc>
        <w:tc>
          <w:tcPr>
            <w:tcW w:type="dxa" w:w="3216"/>
          </w:tcPr>
          <w:p>
            <w:r>
              <w:rPr>
                <w:b w:val="0"/>
                <w:sz w:val="18"/>
              </w:rPr>
              <w:t>Compensation-plan administration at scale.</w:t>
            </w:r>
          </w:p>
        </w:tc>
      </w:tr>
      <w:tr>
        <w:tc>
          <w:tcPr>
            <w:tcW w:type="dxa" w:w="3216"/>
          </w:tcPr>
          <w:p>
            <w:r>
              <w:rPr>
                <w:b w:val="0"/>
                <w:sz w:val="18"/>
              </w:rPr>
              <w:t>Annual Compensation Review (ACR)</w:t>
            </w:r>
          </w:p>
        </w:tc>
        <w:tc>
          <w:tcPr>
            <w:tcW w:type="dxa" w:w="3216"/>
          </w:tcPr>
          <w:p>
            <w:r>
              <w:rPr>
                <w:b w:val="0"/>
                <w:sz w:val="18"/>
              </w:rPr>
              <w:t>Verizon Wireless</w:t>
            </w:r>
          </w:p>
        </w:tc>
        <w:tc>
          <w:tcPr>
            <w:tcW w:type="dxa" w:w="3216"/>
          </w:tcPr>
          <w:p>
            <w:r>
              <w:rPr>
                <w:b w:val="0"/>
                <w:sz w:val="18"/>
              </w:rPr>
              <w:t>Market benchmarking, percentile and compa-ratio analysis.</w:t>
            </w:r>
          </w:p>
        </w:tc>
      </w:tr>
    </w:tbl>
    <w:p>
      <w:r>
        <w:rPr>
          <w:b/>
          <w:color w:val="201F2B"/>
          <w:sz w:val="24"/>
        </w:rPr>
        <w:t>Key personnel</w:t>
      </w:r>
    </w:p>
    <w:p>
      <w:r>
        <w:t>Jelani House (HSG) - Project Director (Prime), single point of accountability. Gilda Weech-House (HSG) - Certified Job Evaluator, classification and internal-equity lead. Raina Cook (HSG) - senior compensation analyst, market benchmarking lead. Michael Nelson (HSG) - data operations and cost modeling. Neil B. Riley (RMP) - Kentucky subcontractor lead, in-state coordination.</w:t>
      </w:r>
    </w:p>
    <w:p>
      <w:r>
        <w:rPr>
          <w:b/>
          <w:color w:val="201F2B"/>
          <w:sz w:val="24"/>
        </w:rPr>
        <w:t>References (Section 2.30) - HSG own past performance</w:t>
      </w:r>
    </w:p>
    <w:tbl>
      <w:tblPr>
        <w:tblStyle w:val="LightGrid-Accent1"/>
        <w:tblW w:type="auto" w:w="0"/>
        <w:tblLook w:firstColumn="1" w:firstRow="1" w:lastColumn="0" w:lastRow="0" w:noHBand="0" w:noVBand="1" w:val="04A0"/>
      </w:tblPr>
      <w:tblGrid>
        <w:gridCol w:w="2412"/>
        <w:gridCol w:w="2412"/>
        <w:gridCol w:w="2412"/>
        <w:gridCol w:w="2412"/>
      </w:tblGrid>
      <w:tr>
        <w:tc>
          <w:tcPr>
            <w:tcW w:type="dxa" w:w="2412"/>
          </w:tcPr>
          <w:p>
            <w:r>
              <w:rPr>
                <w:b/>
                <w:sz w:val="18"/>
              </w:rPr>
              <w:t>#</w:t>
            </w:r>
          </w:p>
        </w:tc>
        <w:tc>
          <w:tcPr>
            <w:tcW w:type="dxa" w:w="2412"/>
          </w:tcPr>
          <w:p>
            <w:r>
              <w:rPr>
                <w:b/>
                <w:sz w:val="18"/>
              </w:rPr>
              <w:t>Client / engagement</w:t>
            </w:r>
          </w:p>
        </w:tc>
        <w:tc>
          <w:tcPr>
            <w:tcW w:type="dxa" w:w="2412"/>
          </w:tcPr>
          <w:p>
            <w:r>
              <w:rPr>
                <w:b/>
                <w:sz w:val="18"/>
              </w:rPr>
              <w:t>Reference</w:t>
            </w:r>
          </w:p>
        </w:tc>
        <w:tc>
          <w:tcPr>
            <w:tcW w:type="dxa" w:w="2412"/>
          </w:tcPr>
          <w:p>
            <w:r>
              <w:rPr>
                <w:b/>
                <w:sz w:val="18"/>
              </w:rPr>
              <w:t>Relevance</w:t>
            </w:r>
          </w:p>
        </w:tc>
      </w:tr>
      <w:tr>
        <w:tc>
          <w:tcPr>
            <w:tcW w:type="dxa" w:w="2412"/>
          </w:tcPr>
          <w:p>
            <w:r>
              <w:rPr>
                <w:b w:val="0"/>
                <w:sz w:val="18"/>
              </w:rPr>
              <w:t>1</w:t>
            </w:r>
          </w:p>
        </w:tc>
        <w:tc>
          <w:tcPr>
            <w:tcW w:type="dxa" w:w="2412"/>
          </w:tcPr>
          <w:p>
            <w:r>
              <w:rPr>
                <w:b w:val="0"/>
                <w:sz w:val="18"/>
              </w:rPr>
              <w:t>USDA APHIS - multi-country position classification and compensation</w:t>
            </w:r>
          </w:p>
        </w:tc>
        <w:tc>
          <w:tcPr>
            <w:tcW w:type="dxa" w:w="2412"/>
          </w:tcPr>
          <w:p>
            <w:r>
              <w:rPr>
                <w:b w:val="0"/>
                <w:sz w:val="18"/>
              </w:rPr>
              <w:t>Karen Darden, USDA APHIS</w:t>
            </w:r>
          </w:p>
        </w:tc>
        <w:tc>
          <w:tcPr>
            <w:tcW w:type="dxa" w:w="2412"/>
          </w:tcPr>
          <w:p>
            <w:r>
              <w:rPr>
                <w:b w:val="0"/>
                <w:sz w:val="18"/>
              </w:rPr>
              <w:t>Directly comparable classification and compensation for a federal workforce (the government client).</w:t>
            </w:r>
          </w:p>
        </w:tc>
      </w:tr>
      <w:tr>
        <w:tc>
          <w:tcPr>
            <w:tcW w:type="dxa" w:w="2412"/>
          </w:tcPr>
          <w:p>
            <w:r>
              <w:rPr>
                <w:b w:val="0"/>
                <w:sz w:val="18"/>
              </w:rPr>
              <w:t>2</w:t>
            </w:r>
          </w:p>
        </w:tc>
        <w:tc>
          <w:tcPr>
            <w:tcW w:type="dxa" w:w="2412"/>
          </w:tcPr>
          <w:p>
            <w:r>
              <w:rPr>
                <w:b w:val="0"/>
                <w:sz w:val="18"/>
              </w:rPr>
              <w:t>USDA APHIS and FAS - classification, compensation and organizational redesign</w:t>
            </w:r>
          </w:p>
        </w:tc>
        <w:tc>
          <w:tcPr>
            <w:tcW w:type="dxa" w:w="2412"/>
          </w:tcPr>
          <w:p>
            <w:r>
              <w:rPr>
                <w:b w:val="0"/>
                <w:sz w:val="18"/>
              </w:rPr>
              <w:t>Sheetal Patel, Rumik Consultancy</w:t>
            </w:r>
          </w:p>
        </w:tc>
        <w:tc>
          <w:tcPr>
            <w:tcW w:type="dxa" w:w="2412"/>
          </w:tcPr>
          <w:p>
            <w:r>
              <w:rPr>
                <w:b w:val="0"/>
                <w:sz w:val="18"/>
              </w:rPr>
              <w:t>Directly comparable; the prime on HSG classification and compensation engagements (HSG subcontractor).</w:t>
            </w:r>
          </w:p>
        </w:tc>
      </w:tr>
      <w:tr>
        <w:tc>
          <w:tcPr>
            <w:tcW w:type="dxa" w:w="2412"/>
          </w:tcPr>
          <w:p>
            <w:r>
              <w:rPr>
                <w:b w:val="0"/>
                <w:sz w:val="18"/>
              </w:rPr>
              <w:t>3</w:t>
            </w:r>
          </w:p>
        </w:tc>
        <w:tc>
          <w:tcPr>
            <w:tcW w:type="dxa" w:w="2412"/>
          </w:tcPr>
          <w:p>
            <w:r>
              <w:rPr>
                <w:b w:val="0"/>
                <w:sz w:val="18"/>
              </w:rPr>
              <w:t>HUD Office of Asset Sales - federal financial-advisory services</w:t>
            </w:r>
          </w:p>
        </w:tc>
        <w:tc>
          <w:tcPr>
            <w:tcW w:type="dxa" w:w="2412"/>
          </w:tcPr>
          <w:p>
            <w:r>
              <w:rPr>
                <w:b w:val="0"/>
                <w:sz w:val="18"/>
              </w:rPr>
              <w:t>John W. Lucey, Director, HUD OAS</w:t>
            </w:r>
          </w:p>
        </w:tc>
        <w:tc>
          <w:tcPr>
            <w:tcW w:type="dxa" w:w="2412"/>
          </w:tcPr>
          <w:p>
            <w:r>
              <w:rPr>
                <w:b w:val="0"/>
                <w:sz w:val="18"/>
              </w:rPr>
              <w:t>Related scope; multi-year high-value federal advisory delivery and program quality.</w:t>
            </w:r>
          </w:p>
        </w:tc>
      </w:tr>
    </w:tbl>
    <w:p>
      <w:r>
        <w:t>All three are HSG own past performance. References 1-2 speak directly to comparable public-sector classification and compensation work; reference 3 attests to HSG federal advisory delivery. Full contact information provided to the Commission with the submittal.</w:t>
      </w:r>
    </w:p>
    <w:p>
      <w:r>
        <w:br w:type="page"/>
      </w:r>
    </w:p>
    <w:p>
      <w:r>
        <w:rPr>
          <w:b/>
          <w:color w:val="2E2FA6"/>
          <w:sz w:val="16"/>
        </w:rPr>
        <w:t>SECTION 7 - THE LIVE CLIENT PORTAL</w:t>
      </w:r>
    </w:p>
    <w:p>
      <w:r>
        <w:rPr>
          <w:b/>
          <w:color w:val="201F2B"/>
          <w:sz w:val="32"/>
        </w:rPr>
        <w:t>ky-judicial.housestrategiesgroup.com</w:t>
      </w:r>
    </w:p>
    <w:p>
      <w:r>
        <w:t>This proposal is accompanied by a working portal - the analysis, running, before any award: interactive market analysis on Kentucky real judicial pay scale, a pay-range workbench, national and comparator-state context, the Circuit Clerk schedule, regional cost-of-labor differentials, an Evidence page assembling the public record with citations, plus the full team, plan, and this proposal.</w:t>
      </w:r>
    </w:p>
    <w:p>
      <w:r>
        <w:t>Security and data ownership: public exhibits use public and clearly-labeled illustrative data only; no confidential Commonwealth data is posted. All working papers, methodology, and reports produced under the study are the property of the LRC, per the RFI, with pre-existing HSG methodology identified as such. Records retained per the three-year requirement and KRS 7.119.</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01F2B"/>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